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克州人工影响天气工作办公室</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工影响天气工作办公室的工作职责主要是拟定全州人工影响天气工作（以下简称人影工作）发展规划、编制实施细则、技术规范、审定作业计划、作业空域申报、统一调拨作业设备、炮弹并组织年检，统计人工增雨（雪）和人工防雹作业情况并进行效益评估，组织、协调、指挥和管理各作业点实施人影作业，技术培训作业队伍，并承担人影工作的科学研究及新技术新项目的开发利用等工作，同时承担自治区人影办交办的其他工作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克州人工影响天气工作办公室，单位无下属预算单位，无下设科室。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克州人工影响天气工作办公室单位编制数 3人，实有人数3人，其中：在职 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克州人影办按照《自治区实施预算绩效管理工作考核暂行办法》、《自治区预算绩效监控管理暂行办法》要求，结合本部门实际，制定本年度绩效重点工作计划。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（1）按照本单位承担的职责，结合年度工作计划，预计本年度内履职所要达到的总体产出和效果，设置年度整体绩效目标。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（2）根据本年度设定的绩效目标，对政策、项目和部门单位整体的预算执行情况、绩效目标完成情况、效益和预期目标偏差情况等进行跟踪监控和纠偏处理。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（3）强化对项目资金的监控，提高绩效监控的针对性和有效性。</w:t>
      </w:r>
      <w:r>
        <w:rPr>
          <w:rFonts w:hint="eastAsia" w:ascii="仿宋_GB2312" w:hAnsi="宋体" w:eastAsia="仿宋_GB2312"/>
          <w:b w:val="0"/>
          <w:bCs/>
          <w:sz w:val="32"/>
          <w:szCs w:val="32"/>
        </w:rPr>
        <w:cr/>
      </w:r>
      <w:r>
        <w:rPr>
          <w:rFonts w:hint="eastAsia" w:ascii="仿宋_GB2312" w:hAnsi="宋体" w:eastAsia="仿宋_GB2312"/>
          <w:b w:val="0"/>
          <w:bCs/>
          <w:sz w:val="32"/>
          <w:szCs w:val="32"/>
        </w:rPr>
        <w:t>　　（4）按要求及时向同级财政部门报送本部门单位政策、项目及部门单位整体绩效监控结果。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人工影响天气工作办公室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人工影响天气工作办公室集体决策制度》和《克州人工影响天气工作办公室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人工影响天气工作办公室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人工影响天气工作办公室合同管理办法》相关规定，克州人工影响天气工作办公室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40.22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本单位2021年度无项目。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2021年度本单位年初批复部门预算资金总额为32.84万元，2021年中调增预算总额为7.38万元，调整后全年预算资金总额为40.22万元。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2021年度本单位部门整体支出资金总额为40.22万元，预算执行率为100%，预算调整率为</w:t>
      </w:r>
      <w:r>
        <w:rPr>
          <w:rFonts w:hint="eastAsia" w:ascii="仿宋_GB2312" w:hAnsi="宋体" w:eastAsia="仿宋_GB2312"/>
          <w:b w:val="0"/>
          <w:bCs/>
          <w:sz w:val="32"/>
          <w:szCs w:val="32"/>
          <w:lang w:val="en-US" w:eastAsia="zh-CN"/>
        </w:rPr>
        <w:t>22.47</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年初政府采购预2.37 万元，实际政府采购数为2.53万元，政府采购执行率为106.75%。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为加强我单位预算管理、规范财务行为我单位制定了《克州人工影响天气工作办公室内部控制规范》《克州人工影响天气工作办公室项目管理规范》等资金管理制度，已建立制度均健全且有效运行。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2021年度我单位基本支出预算总额为40.22万元，其中人员经费37.13万元，公用经费3.09万元。实际执行总额为40.22万元，预算执行率100%。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0.97万元，比上年减少0万元，减少0%，主要原因是：按照厉行节约的要求，2021年缩减公务车运行维护费，因此支出随之减少。其中，因公出国（境）费支出0万元；公务用车购置及运行维护费支出0.97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与年初预算数相比情况：一般公共预算“三公”经费支出年初预算数0.97万元，预算执行数为0.97万元，执行率为100%，主要原因是：按照厉行节约的要求，2021年缩减公务车运行维护费，因此支出随之减少。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本单位无项目。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本单位2021年初资产合计数为63.58万元，年末资产合计数为54.61万元。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截止本年度固定资产账面净值54.24万元，年末实际在用固定资产54.24万元，固定资产利用率为100%。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我单位2020年度部门（单位）整体支出绩效目标共设置一级指标3个，二级指标9个，三级指标13个，其中已完成二级指标9个，三级指标13个，指标完成率为100%。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“保障在职职工人数（人）”指标：预期指标值为&gt;=3人，实际完成指标值为3人，指标完成率为100%;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“保障车辆运行数(辆)”指标：预期指标为&gt;=2辆，实际完成指标值为2辆，指标完成率为100%；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“保障部门运转数”指标，预期指标为&gt;=1个，实际完成指标值为1个,指标完成率为100%。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“工资及社保等各项缴费发放保障率（%）”指标：预期指标值为100%，实际完成指标值为100%，指标完成率为100%。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“资金支付保障率（%）”指标：预期指标为=100%,实际完成指标100%，指标完成率100%。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“基本工资、福利等（万元）”指标：预期指标值为&lt;=29.76万元，实际完成指标值为29.76万元，指标完成率为100%。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“办公经费、公用取暖费等、社保（五险一金）等（万元）”指标：预期指标值为&lt;=3.08万元，实际完成指标值为3.08，指标完成率为100%。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“减轻气象灾害的发生”指标：预期指标值100%，实际完成指标值为100%，指标完成率为100%;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“持续为我市提供气象保障”指标：预期指标值长期，实际完成指标值为长期，指标完成率为100%;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“受益群众满意度”指标：预期指标值为≧95%，实际完成指标值为95%，指标完成率为为100%;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4FA575D"/>
    <w:rsid w:val="497D15B5"/>
    <w:rsid w:val="51C70EA9"/>
    <w:rsid w:val="54F842B6"/>
    <w:rsid w:val="656071F2"/>
    <w:rsid w:val="6BF1756B"/>
    <w:rsid w:val="6F5E1AA3"/>
    <w:rsid w:val="7CE91DD6"/>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2022-05-23T13:52:03Z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